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845"/>
        <w:gridCol w:w="1446"/>
      </w:tblGrid>
      <w:tr w:rsidR="00601DF4" w:rsidRPr="00601DF4" w:rsidTr="00601DF4">
        <w:trPr>
          <w:tblCellSpacing w:w="15" w:type="dxa"/>
        </w:trPr>
        <w:tc>
          <w:tcPr>
            <w:tcW w:w="1800" w:type="dxa"/>
            <w:hideMark/>
          </w:tcPr>
          <w:p w:rsidR="00601DF4" w:rsidRPr="00601DF4" w:rsidRDefault="00601DF4" w:rsidP="00601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828675" cy="994410"/>
                  <wp:effectExtent l="19050" t="0" r="9525" b="0"/>
                  <wp:docPr id="1" name="Picture 1" descr="http://art.holocaust-education.net/images/photographs/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t.holocaust-education.net/images/photographs/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9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01DF4" w:rsidRPr="00601DF4" w:rsidRDefault="00601DF4" w:rsidP="00601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</w:rPr>
            </w:pPr>
            <w:r w:rsidRPr="00601DF4">
              <w:rPr>
                <w:rFonts w:ascii="Arial" w:eastAsia="Times New Roman" w:hAnsi="Arial" w:cs="Arial"/>
                <w:b/>
                <w:bCs/>
                <w:color w:val="663333"/>
                <w:sz w:val="24"/>
                <w:szCs w:val="24"/>
              </w:rPr>
              <w:t>Esther Lurie</w:t>
            </w:r>
            <w:r w:rsidRPr="00601DF4">
              <w:rPr>
                <w:rFonts w:ascii="Arial" w:eastAsia="Times New Roman" w:hAnsi="Arial" w:cs="Arial"/>
                <w:b/>
                <w:bCs/>
                <w:color w:val="663333"/>
                <w:sz w:val="24"/>
                <w:szCs w:val="24"/>
              </w:rPr>
              <w:br/>
              <w:t>1913-1998</w:t>
            </w:r>
          </w:p>
        </w:tc>
      </w:tr>
    </w:tbl>
    <w:p w:rsidR="00601DF4" w:rsidRPr="00601DF4" w:rsidRDefault="00601DF4" w:rsidP="00601DF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vanish/>
          <w:color w:val="000000"/>
          <w:sz w:val="20"/>
          <w:szCs w:val="20"/>
        </w:rPr>
      </w:pPr>
    </w:p>
    <w:tbl>
      <w:tblPr>
        <w:tblW w:w="2637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36"/>
      </w:tblGrid>
      <w:tr w:rsidR="00E578C8" w:rsidRPr="00601DF4" w:rsidTr="00E578C8">
        <w:trPr>
          <w:tblCellSpacing w:w="0" w:type="dxa"/>
        </w:trPr>
        <w:tc>
          <w:tcPr>
            <w:tcW w:w="0" w:type="auto"/>
            <w:vAlign w:val="center"/>
            <w:hideMark/>
          </w:tcPr>
          <w:p w:rsidR="00E578C8" w:rsidRPr="00601DF4" w:rsidRDefault="00E578C8" w:rsidP="00601DF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01DF4">
              <w:rPr>
                <w:rFonts w:ascii="Arial" w:eastAsia="Times New Roman" w:hAnsi="Arial" w:cs="Arial"/>
                <w:b/>
                <w:bCs/>
                <w:color w:val="663333"/>
                <w:sz w:val="24"/>
                <w:szCs w:val="24"/>
              </w:rPr>
              <w:t>Biography</w:t>
            </w:r>
          </w:p>
        </w:tc>
      </w:tr>
    </w:tbl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Esther Lurie was born in Liepaja, Latvia, to a religious Jewish family with five children. Her family were forced to leave during World War I because the city's importance as a military port. In 1917 they shifted t</w:t>
      </w:r>
      <w:r w:rsidR="00E578C8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o Riga.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She already showed artistic talent in kindergarten and began to develop professionally from the age of fifteen, studying with various teachers. From 1931-1934 she learned theatrical set design in Brussels, and afterwards studied drawing in Antwerp.</w:t>
      </w:r>
    </w:p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In 1934 Lurie migrated to Palestine with most of her family and worked at various artistic activities. When events limited theatrical activity in Palestine, she devoted herself to drawing - producing many portraits. Her favorite subjects </w:t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>were dancers and musicians.</w:t>
      </w:r>
    </w:p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In 1939 she travelled to Europe to further her studies, visiting France and Antwerp. That summer she visited relatives in Latvia and Lithuania, exhibiting work in Riga and also at </w:t>
      </w:r>
      <w:proofErr w:type="spellStart"/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Kovno</w:t>
      </w:r>
      <w:proofErr w:type="spellEnd"/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(Kaunas) in Lithuania (both in 1939). The next year she held another exhibition at </w:t>
      </w:r>
      <w:proofErr w:type="spellStart"/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Kovno's</w:t>
      </w:r>
      <w:proofErr w:type="spellEnd"/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Royal Opera House</w:t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on the theme of "The Ballet". </w:t>
      </w:r>
    </w:p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World War II had begun while she was in Lithuania and during the Nazi occupation (1941-44) she was imprisoned in the</w:t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proofErr w:type="spellStart"/>
      <w:r w:rsidR="00F37E02" w:rsidRPr="00601DF4">
        <w:rPr>
          <w:rFonts w:ascii="Verdana" w:eastAsia="Times New Roman" w:hAnsi="Verdana" w:cs="Times New Roman"/>
          <w:color w:val="000000"/>
          <w:sz w:val="20"/>
          <w:szCs w:val="20"/>
        </w:rPr>
        <w:fldChar w:fldCharType="begin"/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instrText xml:space="preserve"> HYPERLINK "http://art.holocaust-education.net/explore.asp?langid=1&amp;submenu=201&amp;id=6" </w:instrText>
      </w:r>
      <w:r w:rsidR="00F37E02" w:rsidRPr="00601DF4">
        <w:rPr>
          <w:rFonts w:ascii="Verdana" w:eastAsia="Times New Roman" w:hAnsi="Verdana" w:cs="Times New Roman"/>
          <w:color w:val="000000"/>
          <w:sz w:val="20"/>
          <w:szCs w:val="20"/>
        </w:rPr>
        <w:fldChar w:fldCharType="separate"/>
      </w:r>
      <w:r w:rsidRPr="00E578C8">
        <w:rPr>
          <w:rFonts w:ascii="Verdana" w:eastAsia="Times New Roman" w:hAnsi="Verdana" w:cs="Times New Roman"/>
          <w:color w:val="996633"/>
          <w:sz w:val="20"/>
          <w:szCs w:val="20"/>
        </w:rPr>
        <w:t>Kovno</w:t>
      </w:r>
      <w:proofErr w:type="spellEnd"/>
      <w:r w:rsidRPr="00E578C8">
        <w:rPr>
          <w:rFonts w:ascii="Verdana" w:eastAsia="Times New Roman" w:hAnsi="Verdana" w:cs="Times New Roman"/>
          <w:color w:val="996633"/>
          <w:sz w:val="20"/>
          <w:szCs w:val="20"/>
        </w:rPr>
        <w:t xml:space="preserve"> ghetto</w:t>
      </w:r>
      <w:r w:rsidR="00F37E02" w:rsidRPr="00601DF4">
        <w:rPr>
          <w:rFonts w:ascii="Verdana" w:eastAsia="Times New Roman" w:hAnsi="Verdana" w:cs="Times New Roman"/>
          <w:color w:val="000000"/>
          <w:sz w:val="20"/>
          <w:szCs w:val="20"/>
        </w:rPr>
        <w:fldChar w:fldCharType="end"/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along with the other Jews. As soon as she entered the ghetto, in mid-1941, Lurie began to sketch views</w:t>
      </w:r>
      <w:r w:rsidR="006F0863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of her new world.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In addition to </w:t>
      </w:r>
      <w:r w:rsidR="006F0863" w:rsidRPr="00E578C8">
        <w:rPr>
          <w:rFonts w:ascii="Verdana" w:eastAsia="Times New Roman" w:hAnsi="Verdana" w:cs="Times New Roman"/>
          <w:color w:val="000000"/>
          <w:sz w:val="20"/>
          <w:szCs w:val="20"/>
        </w:rPr>
        <w:t>the characters and events, she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also depicted the landscapes, whose beauty was in direct contradiction to the terrors of life in the ghetto.</w:t>
      </w:r>
    </w:p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Lurie drew every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>where in the ghetto, including the pottery workshop. She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got the idea of asking the Jewish potters to prepare a number of jars for her.  Lurie hid her art collection - approximately 200 drawings and watercolors of 25 x 35 cm - in the large jars she had prepared in advance. </w:t>
      </w:r>
      <w:r w:rsidR="007A73E3">
        <w:rPr>
          <w:rFonts w:ascii="Verdana" w:hAnsi="Verdana"/>
          <w:color w:val="000000"/>
          <w:sz w:val="20"/>
          <w:szCs w:val="20"/>
          <w:shd w:val="clear" w:color="auto" w:fill="FFFFFF"/>
        </w:rPr>
        <w:t>One of her ghetto friends succeeded in rescuing 11 sketches and watercolors of her works that were taken later to Israel.</w:t>
      </w:r>
    </w:p>
    <w:p w:rsidR="00601DF4" w:rsidRP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In July 1944, as the Red Army approached Lithuania, the ghetto was liquidated and set on 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fire.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Esther Lurie was sent to Germany, leavin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>g her hidden works behind. A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long with the other women from the ghetto, 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she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was placed in</w:t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hyperlink r:id="rId7" w:history="1">
        <w:r w:rsidRPr="00E578C8">
          <w:rPr>
            <w:rFonts w:ascii="Verdana" w:eastAsia="Times New Roman" w:hAnsi="Verdana" w:cs="Times New Roman"/>
            <w:color w:val="996633"/>
            <w:sz w:val="20"/>
            <w:szCs w:val="20"/>
          </w:rPr>
          <w:t>Stutthof concentration camp</w:t>
        </w:r>
      </w:hyperlink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and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remained 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there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until the end of July 1944. She was separated from her sister, with whom she had lived during the whole ghetto period. Lurie's sister and young nephew were deported to</w:t>
      </w:r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hyperlink r:id="rId8" w:history="1">
        <w:r w:rsidRPr="00E578C8">
          <w:rPr>
            <w:rFonts w:ascii="Verdana" w:eastAsia="Times New Roman" w:hAnsi="Verdana" w:cs="Times New Roman"/>
            <w:color w:val="996633"/>
            <w:sz w:val="20"/>
            <w:szCs w:val="20"/>
          </w:rPr>
          <w:t>Auschwitz</w:t>
        </w:r>
      </w:hyperlink>
      <w:r w:rsidRPr="00E578C8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and did not survive the war.</w:t>
      </w:r>
    </w:p>
    <w:p w:rsidR="00601DF4" w:rsidRDefault="00601DF4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Lurie was liberated by the Red Army on 21 January 1945. In March 1945 she reached a camp in Italy, where she met Jewish soldiers from Palestine who were serving in the British army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. 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Lurie reached Israel (Palestine) in July 1945 and was received with great excitement. 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="00E578C8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She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married</w:t>
      </w:r>
      <w:r w:rsidR="00E578C8" w:rsidRPr="00E578C8">
        <w:rPr>
          <w:rFonts w:ascii="Verdana" w:eastAsia="Times New Roman" w:hAnsi="Verdana" w:cs="Times New Roman"/>
          <w:color w:val="000000"/>
          <w:sz w:val="20"/>
          <w:szCs w:val="20"/>
        </w:rPr>
        <w:t>, raised a family and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 xml:space="preserve"> continued to create and exhibit in group and solo exhibitions in Israel and e</w:t>
      </w:r>
      <w:r w:rsidR="00F77114" w:rsidRPr="00E578C8">
        <w:rPr>
          <w:rFonts w:ascii="Verdana" w:eastAsia="Times New Roman" w:hAnsi="Verdana" w:cs="Times New Roman"/>
          <w:color w:val="000000"/>
          <w:sz w:val="20"/>
          <w:szCs w:val="20"/>
        </w:rPr>
        <w:t>lsewhere.</w:t>
      </w:r>
      <w:r w:rsidR="00E578C8" w:rsidRPr="00E578C8"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  <w:r w:rsidRPr="00601DF4">
        <w:rPr>
          <w:rFonts w:ascii="Verdana" w:eastAsia="Times New Roman" w:hAnsi="Verdana" w:cs="Times New Roman"/>
          <w:color w:val="000000"/>
          <w:sz w:val="20"/>
          <w:szCs w:val="20"/>
        </w:rPr>
        <w:t>Esther Lurie passed away in Tel Aviv in 1998.</w:t>
      </w:r>
    </w:p>
    <w:p w:rsidR="00E578C8" w:rsidRDefault="00E578C8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E578C8" w:rsidRDefault="007A73E3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lastRenderedPageBreak/>
        <w:t>TASK I.  Answer the questions.</w:t>
      </w: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Where was Esther born?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8064C7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</w:t>
      </w:r>
      <w:r w:rsidR="00A32E63">
        <w:rPr>
          <w:rFonts w:eastAsia="Times New Roman" w:cs="Times New Roman"/>
          <w:color w:val="000000"/>
        </w:rPr>
        <w:t>hy was her family forced to leave the native town?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In what countries did she study?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How did Esther appear in Kaunas ghetto?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How did she manage to hide her ghetto paintings?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What concentration camps are mentioned in the text?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What happened to Esther’s relatives?</w:t>
      </w:r>
    </w:p>
    <w:p w:rsidR="008064C7" w:rsidRDefault="008064C7" w:rsidP="008064C7">
      <w:pPr>
        <w:pStyle w:val="ListParagraph"/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A32E63" w:rsidRPr="00A32E63" w:rsidRDefault="00A32E63" w:rsidP="00A32E63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Did Esther succeed in her life? Prove your answer.</w:t>
      </w:r>
    </w:p>
    <w:p w:rsidR="00E578C8" w:rsidRPr="00601DF4" w:rsidRDefault="00E578C8" w:rsidP="00E578C8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Times New Roman"/>
          <w:color w:val="000000"/>
        </w:rPr>
      </w:pPr>
    </w:p>
    <w:p w:rsidR="00694B53" w:rsidRDefault="00694B53">
      <w:pPr>
        <w:rPr>
          <w:b/>
        </w:rPr>
      </w:pPr>
    </w:p>
    <w:p w:rsidR="00A32E63" w:rsidRDefault="00A32E63">
      <w:pPr>
        <w:rPr>
          <w:b/>
        </w:rPr>
      </w:pPr>
    </w:p>
    <w:p w:rsidR="00A32E63" w:rsidRDefault="00A32E63">
      <w:pPr>
        <w:rPr>
          <w:b/>
        </w:rPr>
      </w:pPr>
    </w:p>
    <w:p w:rsidR="00E2019B" w:rsidRDefault="00E2019B">
      <w:pPr>
        <w:rPr>
          <w:b/>
        </w:rPr>
      </w:pPr>
      <w:r>
        <w:rPr>
          <w:b/>
        </w:rPr>
        <w:t>TASK II.</w:t>
      </w:r>
      <w:r w:rsidR="008064C7">
        <w:rPr>
          <w:b/>
        </w:rPr>
        <w:t xml:space="preserve">  How could you describe this painting of Esther Lurie?</w:t>
      </w:r>
    </w:p>
    <w:p w:rsidR="00E2019B" w:rsidRDefault="00E2019B">
      <w:pPr>
        <w:rPr>
          <w:b/>
        </w:rPr>
      </w:pPr>
      <w:r>
        <w:rPr>
          <w:noProof/>
        </w:rPr>
        <w:drawing>
          <wp:inline distT="0" distB="0" distL="0" distR="0">
            <wp:extent cx="2817405" cy="2038350"/>
            <wp:effectExtent l="19050" t="0" r="1995" b="0"/>
            <wp:docPr id="2" name="Picture 1" descr="https://encrypted-tbn1.gstatic.com/images?q=tbn:ANd9GcRtVm0P34muE3O0FBiKTvFHk318O9LMkjB9_Jth1pO8MQ5NPBv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RtVm0P34muE3O0FBiKTvFHk318O9LMkjB9_Jth1pO8MQ5NPBvp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0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19B" w:rsidRPr="00A32E63" w:rsidRDefault="00E2019B">
      <w:pPr>
        <w:rPr>
          <w:b/>
        </w:rPr>
      </w:pPr>
    </w:p>
    <w:sectPr w:rsidR="00E2019B" w:rsidRPr="00A32E63" w:rsidSect="00694B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541B1"/>
    <w:multiLevelType w:val="hybridMultilevel"/>
    <w:tmpl w:val="2B526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06E0C"/>
    <w:multiLevelType w:val="hybridMultilevel"/>
    <w:tmpl w:val="660C5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82D6F"/>
    <w:multiLevelType w:val="hybridMultilevel"/>
    <w:tmpl w:val="E9783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7103B"/>
    <w:multiLevelType w:val="hybridMultilevel"/>
    <w:tmpl w:val="6152D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1DF4"/>
    <w:rsid w:val="00601DF4"/>
    <w:rsid w:val="00694B53"/>
    <w:rsid w:val="006A21E0"/>
    <w:rsid w:val="006F0863"/>
    <w:rsid w:val="007A73E3"/>
    <w:rsid w:val="007E3BEB"/>
    <w:rsid w:val="008064C7"/>
    <w:rsid w:val="009407B8"/>
    <w:rsid w:val="00A32E63"/>
    <w:rsid w:val="00E2019B"/>
    <w:rsid w:val="00E578C8"/>
    <w:rsid w:val="00F37E02"/>
    <w:rsid w:val="00F77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1DF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01DF4"/>
  </w:style>
  <w:style w:type="paragraph" w:styleId="BalloonText">
    <w:name w:val="Balloon Text"/>
    <w:basedOn w:val="Normal"/>
    <w:link w:val="BalloonTextChar"/>
    <w:uiPriority w:val="99"/>
    <w:semiHidden/>
    <w:unhideWhenUsed/>
    <w:rsid w:val="00601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73E3"/>
    <w:pPr>
      <w:ind w:left="720"/>
      <w:contextualSpacing/>
    </w:pPr>
  </w:style>
  <w:style w:type="table" w:styleId="TableGrid">
    <w:name w:val="Table Grid"/>
    <w:basedOn w:val="TableNormal"/>
    <w:uiPriority w:val="59"/>
    <w:rsid w:val="007A7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.holocaust-education.net/explore.asp?langid=1&amp;submenu=201&amp;id=12" TargetMode="External"/><Relationship Id="rId3" Type="http://schemas.openxmlformats.org/officeDocument/2006/relationships/styles" Target="styles.xml"/><Relationship Id="rId7" Type="http://schemas.openxmlformats.org/officeDocument/2006/relationships/hyperlink" Target="http://art.holocaust-education.net/explore.asp?langid=1&amp;submenu=201&amp;id=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D03A2-2E7C-4EF8-9EF8-D7D1E0A26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HomePC</Company>
  <LinksUpToDate>false</LinksUpToDate>
  <CharactersWithSpaces>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</dc:creator>
  <cp:keywords/>
  <dc:description/>
  <cp:lastModifiedBy>Jolita</cp:lastModifiedBy>
  <cp:revision>2</cp:revision>
  <dcterms:created xsi:type="dcterms:W3CDTF">2015-01-21T17:23:00Z</dcterms:created>
  <dcterms:modified xsi:type="dcterms:W3CDTF">2015-01-21T17:23:00Z</dcterms:modified>
</cp:coreProperties>
</file>